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Акт входного контроля материалов</w:t>
      </w:r>
    </w:p>
    <w:p>
      <w:r>
        <w:t>Образец для адаптации под строительный объект. Не является утверждённой универсальной формой.</w:t>
      </w:r>
    </w:p>
    <w:p>
      <w:r>
        <w:rPr>
          <w:b/>
        </w:rPr>
        <w:t xml:space="preserve">Акт № </w:t>
      </w:r>
      <w:r>
        <w:t>________________   Дата составления ____________</w:t>
      </w:r>
    </w:p>
    <w:p>
      <w:r>
        <w:rPr>
          <w:b/>
        </w:rPr>
        <w:t xml:space="preserve">Объект и участок работ: </w:t>
      </w:r>
      <w:r>
        <w:t>________________________________________________________________</w:t>
      </w:r>
    </w:p>
    <w:p>
      <w:r>
        <w:rPr>
          <w:b/>
        </w:rPr>
        <w:t xml:space="preserve">Место и дата фактической проверки: </w:t>
      </w:r>
      <w:r>
        <w:t>________________________________________________________________</w:t>
      </w:r>
    </w:p>
    <w:p>
      <w:r>
        <w:rPr>
          <w:b/>
        </w:rPr>
        <w:t xml:space="preserve">Организация, проводящая контроль: </w:t>
      </w:r>
      <w:r>
        <w:t>________________________________________________________________</w:t>
      </w:r>
    </w:p>
    <w:p>
      <w:r>
        <w:rPr>
          <w:b/>
        </w:rPr>
        <w:t xml:space="preserve">Участники, должности и основания полномочий: </w:t>
      </w:r>
      <w:r>
        <w:t>________________________________________________________________</w:t>
      </w:r>
    </w:p>
    <w:p>
      <w:r>
        <w:rPr>
          <w:b/>
        </w:rPr>
        <w:t xml:space="preserve">Проект / рабочая документация, план и порядок контроля: </w:t>
      </w:r>
      <w:r>
        <w:t>________________________________________________________________</w:t>
      </w:r>
    </w:p>
    <w:p>
      <w:r>
        <w:rPr>
          <w:b/>
        </w:rPr>
        <w:t xml:space="preserve">Изготовитель и поставщик: </w:t>
      </w:r>
      <w:r>
        <w:t>________________________________________________________________</w:t>
      </w:r>
    </w:p>
    <w:p>
      <w:r>
        <w:rPr>
          <w:b/>
        </w:rPr>
        <w:t xml:space="preserve">Накладная / поставка, договор: </w:t>
      </w:r>
      <w:r>
        <w:t>________________________________________________________________</w:t>
      </w:r>
    </w:p>
    <w:p>
      <w:r>
        <w:rPr>
          <w:b/>
        </w:rPr>
        <w:t xml:space="preserve">Материал, марка / тип, нормативный документ: </w:t>
      </w:r>
      <w:r>
        <w:t>________________________________________________________________</w:t>
      </w:r>
    </w:p>
    <w:p>
      <w:r>
        <w:rPr>
          <w:b/>
        </w:rPr>
        <w:t xml:space="preserve">Партия, дата изготовления, количество и единица: </w:t>
      </w:r>
      <w:r>
        <w:t>________________________________________________________________</w:t>
      </w:r>
    </w:p>
    <w:p>
      <w:r>
        <w:rPr>
          <w:b/>
        </w:rPr>
        <w:t xml:space="preserve">Документы качества и соответствия </w:t>
      </w:r>
      <w:r>
        <w:t>(название, номер, дата, охватываемая продукция):</w:t>
      </w:r>
    </w:p>
    <w:p>
      <w:r>
        <w:t>________________________________________________________________________________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2778"/>
        <w:gridCol w:w="3515"/>
      </w:tblGrid>
      <w:tr>
        <w:trPr>
          <w:cantSplit/>
          <w:tblHeader/>
        </w:trPr>
        <w:tc>
          <w:tcPr>
            <w:tcW w:type="dxa" w:w="368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6E8EB"/>
          </w:tcPr>
          <w:p>
            <w:pPr>
              <w:spacing w:after="40"/>
            </w:pPr>
            <w:r>
              <w:rPr>
                <w:b/>
                <w:sz w:val="20"/>
              </w:rPr>
              <w:t>Что и по какому требованию проверено</w:t>
            </w:r>
          </w:p>
        </w:tc>
        <w:tc>
          <w:tcPr>
            <w:tcW w:type="dxa" w:w="277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6E8EB"/>
          </w:tcPr>
          <w:p>
            <w:pPr>
              <w:spacing w:after="40"/>
            </w:pPr>
            <w:r>
              <w:rPr>
                <w:b/>
                <w:sz w:val="20"/>
              </w:rPr>
              <w:t>Метод и объём проверки</w:t>
            </w:r>
          </w:p>
        </w:tc>
        <w:tc>
          <w:tcPr>
            <w:tcW w:type="dxa" w:w="351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6E8EB"/>
          </w:tcPr>
          <w:p>
            <w:pPr>
              <w:spacing w:after="40"/>
            </w:pPr>
            <w:r>
              <w:rPr>
                <w:b/>
                <w:sz w:val="20"/>
              </w:rPr>
              <w:t>Фактический результат</w:t>
            </w:r>
          </w:p>
        </w:tc>
      </w:tr>
      <w:tr>
        <w:trPr>
          <w:cantSplit/>
        </w:trPr>
        <w:tc>
          <w:tcPr>
            <w:tcW w:type="dxa" w:w="368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sz w:val="20"/>
              </w:rPr>
              <w:br/>
            </w:r>
          </w:p>
        </w:tc>
        <w:tc>
          <w:tcPr>
            <w:tcW w:type="dxa" w:w="277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sz w:val="20"/>
              </w:rPr>
              <w:br/>
            </w:r>
          </w:p>
        </w:tc>
        <w:tc>
          <w:tcPr>
            <w:tcW w:type="dxa" w:w="351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368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sz w:val="20"/>
              </w:rPr>
              <w:br/>
            </w:r>
          </w:p>
        </w:tc>
        <w:tc>
          <w:tcPr>
            <w:tcW w:type="dxa" w:w="277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sz w:val="20"/>
              </w:rPr>
              <w:br/>
            </w:r>
          </w:p>
        </w:tc>
        <w:tc>
          <w:tcPr>
            <w:tcW w:type="dxa" w:w="351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368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sz w:val="20"/>
              </w:rPr>
              <w:br/>
            </w:r>
          </w:p>
        </w:tc>
        <w:tc>
          <w:tcPr>
            <w:tcW w:type="dxa" w:w="277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sz w:val="20"/>
              </w:rPr>
              <w:br/>
            </w:r>
          </w:p>
        </w:tc>
        <w:tc>
          <w:tcPr>
            <w:tcW w:type="dxa" w:w="351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sz w:val="20"/>
              </w:rPr>
              <w:br/>
            </w:r>
          </w:p>
        </w:tc>
      </w:tr>
    </w:tbl>
    <w:p>
      <w:r>
        <w:rPr>
          <w:b/>
        </w:rPr>
        <w:t xml:space="preserve">Замечания / несоответствия и затронутый объём: </w:t>
      </w:r>
      <w:r>
        <w:t>________________________________________________________________</w:t>
      </w:r>
    </w:p>
    <w:p>
      <w:r>
        <w:rPr>
          <w:b/>
        </w:rPr>
        <w:t xml:space="preserve">Решение, ограничения и условия повторной проверки: </w:t>
      </w:r>
      <w:r>
        <w:t>________________________________________________________________</w:t>
      </w:r>
    </w:p>
    <w:p>
      <w:r>
        <w:rPr>
          <w:b/>
        </w:rPr>
        <w:t xml:space="preserve">Приложения и ссылки на записи журналов: </w:t>
      </w:r>
      <w:r>
        <w:t>________________________________________________________________</w:t>
      </w:r>
    </w:p>
    <w:p>
      <w:r>
        <w:rPr>
          <w:b/>
        </w:rPr>
        <w:t xml:space="preserve">Подписи участников: </w:t>
      </w:r>
      <w:r>
        <w:t>должность, ФИО, подпись, дата __________________________</w:t>
      </w:r>
    </w:p>
    <w:p>
      <w:r>
        <w:br w:type="page"/>
      </w:r>
    </w:p>
    <w:p>
      <w:pPr>
        <w:pStyle w:val="Heading1"/>
      </w:pPr>
      <w:r>
        <w:t>Как адаптировать и заполнить бланк</w:t>
      </w:r>
    </w:p>
    <w:p>
      <w:r>
        <w:rPr>
          <w:b/>
        </w:rPr>
        <w:t xml:space="preserve">Проверьте применимость. </w:t>
      </w:r>
      <w:r>
        <w:t>Положение, утверждённое постановлением Правительства РФ от 21.06.2010 № 468, регулирует строительный контроль объектов капитального строительства. Пункт 12 предусматривает акт по результатам контрольного мероприятия. Для конкретного материала и вида работ проверьте специальные требования, проект, договор и порядок объекта.</w:t>
      </w:r>
    </w:p>
    <w:p>
      <w:r>
        <w:rPr>
          <w:b/>
        </w:rPr>
        <w:t xml:space="preserve">Определите участников. </w:t>
      </w:r>
      <w:r>
        <w:t>Укажите работников, на которых возложены функции контроля, и основания их полномочий. Для совместного мероприятия подрядчика и заказчика пункт 12 Положения № 468 предусматривает два экземпляра и подписи представителей обеих сторон. Не добавляйте формальную комиссию без основания.</w:t>
      </w:r>
    </w:p>
    <w:p>
      <w:r>
        <w:rPr>
          <w:b/>
        </w:rPr>
        <w:t xml:space="preserve">Идентифицируйте поставку. </w:t>
      </w:r>
      <w:r>
        <w:t>Полное обозначение материала, изготовитель, номер партии, накладная и количество должны согласовываться с маркировкой и сопроводительными документами. Различайте число упаковок, массу по маркировке и результат взвешивания.</w:t>
      </w:r>
    </w:p>
    <w:p>
      <w:r>
        <w:rPr>
          <w:b/>
        </w:rPr>
        <w:t xml:space="preserve">Раскройте результат. </w:t>
      </w:r>
      <w:r>
        <w:t>Добавляйте строки в таблицу по числу проверок. Укажите требование, метод, объём и фактический результат. Показатели из паспорта не называйте собственными измерениями. Для испытаний приведите номер протокола, дату и идентификацию образцов.</w:t>
      </w:r>
    </w:p>
    <w:p>
      <w:r>
        <w:rPr>
          <w:b/>
        </w:rPr>
        <w:t xml:space="preserve">Не скрывайте замечание. </w:t>
      </w:r>
      <w:r>
        <w:t>Опишите факт и объём несоответствия, ограничение применения, ответственных и дальнейшие действия. Сохраните первоначальное замечание при повторной проверке; свяжите новый акт с исходным.</w:t>
      </w:r>
    </w:p>
    <w:p>
      <w:r>
        <w:rPr>
          <w:b/>
        </w:rPr>
        <w:t xml:space="preserve">Свяжите документы. </w:t>
      </w:r>
      <w:r>
        <w:t>Укажите реквизиты приложений, запись журнала входного контроля и сведения для общего журнала работ. Акт не заменяет паспорт, требуемый документ о соответствии или протокол испытаний.</w:t>
      </w:r>
    </w:p>
    <w:p>
      <w:pPr>
        <w:pStyle w:val="Heading2"/>
      </w:pPr>
      <w:r>
        <w:t>Основания и границы</w:t>
      </w:r>
    </w:p>
    <w:p>
      <w:r>
        <w:t>Положение № 468, пункты 4–7 и 12; СП 543.1325800.2024, пункты 7.1.4–7.1.13. Приложение Г СП 543 — рекомендуемая форма журнала, а не акта. Приложение И СП 48.13330.2019 исключено изменением № 2 от 21.04.2025. Дополнительные поля и подписи определяют по применимому порядку.</w:t>
      </w:r>
    </w:p>
    <w:p>
      <w:r>
        <w:t>Подготовлено редакцией ЦДПО ПРОФЕКС. Проверка оснований: 01.10.2026. После редактирования проверьте разрывы страниц и печать на А4. Подписывают только фактические уполномоченные участники.</w:t>
      </w:r>
    </w:p>
    <w:sectPr w:rsidR="00FC693F" w:rsidRPr="0006063C" w:rsidSect="00034616"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входного контроля материалов</dc:title>
  <dc:subject/>
  <dc:creator>ЦДПО ПРОФЕКС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